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overflowPunct w:val="false"/>
        <w:textAlignment w:val="auto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Ё</w:t>
        <w:tab/>
        <w:t xml:space="preserve">ё   </w:t>
      </w:r>
      <w:r>
        <w:rPr>
          <w:rFonts w:cs="Liberation Serif" w:ascii="Liberation Serif" w:hAnsi="Liberation Serif"/>
          <w:szCs w:val="28"/>
        </w:rPr>
        <w:t>Приложение к письму</w:t>
      </w:r>
    </w:p>
    <w:p>
      <w:pPr>
        <w:pStyle w:val="Normal"/>
        <w:overflowPunct w:val="false"/>
        <w:ind w:left="7230" w:hanging="709"/>
        <w:jc w:val="both"/>
        <w:textAlignment w:val="auto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от _________ №_________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jc w:val="center"/>
        <w:textAlignment w:val="auto"/>
        <w:rPr>
          <w:rFonts w:ascii="Liberation Serif" w:hAnsi="Liberation Serif" w:cs="Liberation Serif"/>
          <w:b/>
          <w:b/>
          <w:szCs w:val="28"/>
        </w:rPr>
      </w:pPr>
      <w:r>
        <w:rPr>
          <w:rFonts w:cs="Liberation Serif" w:ascii="Liberation Serif" w:hAnsi="Liberation Serif"/>
          <w:b/>
          <w:szCs w:val="28"/>
        </w:rPr>
        <w:t>ФОРМА ЗАПРОСА ИНФОРМАЦИИ, используемой</w:t>
      </w:r>
    </w:p>
    <w:p>
      <w:pPr>
        <w:pStyle w:val="Normal"/>
        <w:overflowPunct w:val="false"/>
        <w:jc w:val="center"/>
        <w:textAlignment w:val="auto"/>
        <w:rPr>
          <w:rFonts w:ascii="Liberation Serif" w:hAnsi="Liberation Serif" w:cs="Liberation Serif"/>
          <w:b/>
          <w:b/>
          <w:szCs w:val="28"/>
        </w:rPr>
      </w:pPr>
      <w:r>
        <w:rPr>
          <w:rFonts w:cs="Liberation Serif" w:ascii="Liberation Serif" w:hAnsi="Liberation Serif"/>
          <w:b/>
          <w:szCs w:val="28"/>
        </w:rPr>
        <w:t xml:space="preserve">для формирования рейтинга качества осуществления оценки регулирующего воздействия и экспертизы в муниципальных образованиях, расположенных на территории Свердловской области </w:t>
      </w:r>
    </w:p>
    <w:p>
      <w:pPr>
        <w:pStyle w:val="Normal"/>
        <w:overflowPunct w:val="false"/>
        <w:jc w:val="both"/>
        <w:textAlignment w:val="auto"/>
        <w:rPr>
          <w:rFonts w:ascii="Liberation Serif" w:hAnsi="Liberation Serif" w:eastAsia="Calibri" w:cs="Liberation Serif" w:eastAsiaTheme="minorHAnsi"/>
          <w:szCs w:val="22"/>
          <w:lang w:eastAsia="en-US"/>
        </w:rPr>
      </w:pPr>
      <w:r>
        <w:rPr>
          <w:rFonts w:eastAsia="Calibri" w:cs="Liberation Serif" w:eastAsiaTheme="minorHAnsi" w:ascii="Liberation Serif" w:hAnsi="Liberation Serif"/>
          <w:szCs w:val="22"/>
          <w:lang w:eastAsia="en-US"/>
        </w:rPr>
      </w:r>
    </w:p>
    <w:tbl>
      <w:tblPr>
        <w:tblW w:w="1009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4"/>
        <w:gridCol w:w="61"/>
        <w:gridCol w:w="2070"/>
        <w:gridCol w:w="5272"/>
        <w:gridCol w:w="139"/>
        <w:gridCol w:w="1848"/>
      </w:tblGrid>
      <w:tr>
        <w:trPr>
          <w:trHeight w:val="401" w:hRule="atLeast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Times New Roman" w:hAnsi="Times New Roman" w:eastAsia="Calibri" w:cs="Liberation Serif"/>
                <w:bCs/>
                <w:szCs w:val="28"/>
              </w:rPr>
            </w:pPr>
            <w:r>
              <w:rPr>
                <w:rFonts w:eastAsia="Calibri" w:cs="Liberation Serif"/>
                <w:bCs/>
                <w:szCs w:val="28"/>
              </w:rPr>
              <w:t>ОБЩИЕ СВЕДЕНИЯ</w:t>
            </w:r>
          </w:p>
        </w:tc>
      </w:tr>
      <w:tr>
        <w:trPr>
          <w:trHeight w:val="680" w:hRule="atLeast"/>
        </w:trPr>
        <w:tc>
          <w:tcPr>
            <w:tcW w:w="283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Times New Roman" w:hAnsi="Times New Roman" w:eastAsia="Calibri" w:cs="Liberation Serif"/>
                <w:szCs w:val="28"/>
              </w:rPr>
            </w:pPr>
            <w:r>
              <w:rPr>
                <w:rFonts w:eastAsia="Calibri" w:cs="Liberation Serif"/>
                <w:szCs w:val="28"/>
              </w:rPr>
              <w:t>Муниципальное образование</w:t>
            </w:r>
          </w:p>
        </w:tc>
        <w:tc>
          <w:tcPr>
            <w:tcW w:w="527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auto"/>
              <w:rPr>
                <w:rFonts w:ascii="Times New Roman" w:hAnsi="Times New Roman" w:eastAsia="Calibri" w:cs="Liberation Serif"/>
                <w:color w:val="FF0000"/>
                <w:szCs w:val="28"/>
              </w:rPr>
            </w:pPr>
            <w:r>
              <w:rPr>
                <w:rFonts w:eastAsia="Calibri" w:cs="Liberation Serif"/>
                <w:color w:val="FF0000"/>
                <w:szCs w:val="28"/>
              </w:rPr>
            </w:r>
          </w:p>
          <w:p>
            <w:pPr>
              <w:pStyle w:val="Normal"/>
              <w:widowControl w:val="false"/>
              <w:overflowPunct w:val="false"/>
              <w:textAlignment w:val="auto"/>
              <w:rPr>
                <w:rFonts w:ascii="Times New Roman" w:hAnsi="Times New Roman" w:eastAsia="Calibri" w:cs="Liberation Serif"/>
                <w:color w:val="auto"/>
                <w:szCs w:val="28"/>
              </w:rPr>
            </w:pPr>
            <w:r>
              <w:rPr>
                <w:rFonts w:eastAsia="Calibri" w:cs="Liberation Serif"/>
                <w:color w:val="auto"/>
                <w:szCs w:val="28"/>
              </w:rPr>
              <w:t>Артинский городской округ</w:t>
            </w:r>
          </w:p>
        </w:tc>
        <w:tc>
          <w:tcPr>
            <w:tcW w:w="19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Times New Roman" w:hAnsi="Times New Roman" w:eastAsia="Calibri" w:cs="Liberation Serif"/>
                <w:szCs w:val="28"/>
              </w:rPr>
            </w:pPr>
            <w:r>
              <w:rPr>
                <w:rFonts w:eastAsia="Calibri" w:cs="Liberation Serif"/>
                <w:szCs w:val="28"/>
              </w:rPr>
              <w:t>Дата составления</w:t>
            </w:r>
          </w:p>
        </w:tc>
      </w:tr>
      <w:tr>
        <w:trPr>
          <w:trHeight w:val="70" w:hRule="atLeast"/>
        </w:trPr>
        <w:tc>
          <w:tcPr>
            <w:tcW w:w="2835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Times New Roman" w:hAnsi="Times New Roman" w:eastAsia="Calibri" w:cs="Liberation Serif"/>
                <w:szCs w:val="28"/>
              </w:rPr>
            </w:pPr>
            <w:r>
              <w:rPr>
                <w:rFonts w:eastAsia="Calibri" w:cs="Liberation Serif"/>
                <w:szCs w:val="28"/>
              </w:rPr>
            </w:r>
          </w:p>
        </w:tc>
        <w:tc>
          <w:tcPr>
            <w:tcW w:w="527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overflowPunct w:val="false"/>
              <w:textAlignment w:val="auto"/>
              <w:rPr>
                <w:rFonts w:ascii="Times New Roman" w:hAnsi="Times New Roman" w:eastAsia="Calibri" w:cs="Liberation Serif"/>
                <w:szCs w:val="28"/>
              </w:rPr>
            </w:pPr>
            <w:r>
              <w:rPr>
                <w:rFonts w:eastAsia="Calibri" w:cs="Liberation Serif"/>
                <w:szCs w:val="28"/>
              </w:rPr>
            </w:r>
          </w:p>
        </w:tc>
        <w:tc>
          <w:tcPr>
            <w:tcW w:w="19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Times New Roman" w:hAnsi="Times New Roman" w:eastAsia="Calibri" w:cs="Liberation Serif"/>
                <w:iCs/>
                <w:szCs w:val="28"/>
              </w:rPr>
            </w:pPr>
            <w:r>
              <w:rPr>
                <w:rFonts w:eastAsia="Calibri" w:cs="Liberation Serif"/>
                <w:iCs/>
                <w:szCs w:val="28"/>
              </w:rPr>
              <w:t>___1</w:t>
            </w:r>
            <w:r>
              <w:rPr>
                <w:rFonts w:eastAsia="Calibri" w:cs="Liberation Serif"/>
                <w:iCs/>
                <w:color w:val="auto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eastAsia="Calibri" w:cs="Liberation Serif"/>
                <w:iCs/>
                <w:szCs w:val="28"/>
              </w:rPr>
              <w:t xml:space="preserve"> января_ 2022_ г.</w:t>
            </w:r>
          </w:p>
        </w:tc>
      </w:tr>
      <w:tr>
        <w:trPr>
          <w:trHeight w:val="855" w:hRule="atLeast"/>
        </w:trPr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Times New Roman" w:hAnsi="Times New Roman" w:eastAsia="Calibri" w:cs="Liberation Serif"/>
                <w:szCs w:val="28"/>
              </w:rPr>
            </w:pPr>
            <w:r>
              <w:rPr>
                <w:rFonts w:eastAsia="Calibri" w:cs="Liberation Serif"/>
                <w:szCs w:val="28"/>
              </w:rPr>
              <w:t>Модель проведения ОРВ</w:t>
            </w:r>
          </w:p>
        </w:tc>
        <w:tc>
          <w:tcPr>
            <w:tcW w:w="72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Times New Roman" w:hAnsi="Times New Roman" w:cs="Liberation Serif"/>
                <w:szCs w:val="28"/>
              </w:rPr>
            </w:pPr>
            <w:r>
              <w:rPr>
                <w:rFonts w:eastAsia="Calibri" w:cs="Liberation Serif"/>
                <w:szCs w:val="28"/>
              </w:rPr>
              <w:t>__________________Ц</w:t>
            </w:r>
            <w:r>
              <w:rPr>
                <w:rFonts w:eastAsia="Calibri" w:cs="Liberation Serif"/>
                <w:iCs/>
                <w:szCs w:val="28"/>
              </w:rPr>
              <w:t>ентрализованная</w:t>
            </w:r>
            <w:r>
              <w:rPr>
                <w:rFonts w:eastAsia="Calibri" w:cs="Liberation Serif"/>
                <w:szCs w:val="28"/>
              </w:rPr>
              <w:t>______________</w:t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Times New Roman" w:hAnsi="Times New Roman" w:eastAsia="Calibri" w:cs="Liberation Serif"/>
                <w:iCs/>
                <w:sz w:val="20"/>
                <w:szCs w:val="20"/>
              </w:rPr>
            </w:pPr>
            <w:r>
              <w:rPr>
                <w:rFonts w:eastAsia="Calibri" w:cs="Liberation Serif"/>
                <w:iCs/>
                <w:sz w:val="20"/>
                <w:szCs w:val="20"/>
              </w:rPr>
              <w:t>(централизованная, децентрализованная или смешанная модель)</w:t>
            </w:r>
            <w:bookmarkStart w:id="0" w:name="_GoBack"/>
            <w:bookmarkEnd w:id="0"/>
          </w:p>
        </w:tc>
      </w:tr>
      <w:tr>
        <w:trPr>
          <w:trHeight w:val="542" w:hRule="atLeast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240" w:after="240"/>
              <w:jc w:val="center"/>
              <w:textAlignment w:val="auto"/>
              <w:rPr>
                <w:rFonts w:ascii="Times New Roman" w:hAnsi="Times New Roman" w:cs="Liberation Serif"/>
                <w:szCs w:val="28"/>
              </w:rPr>
            </w:pPr>
            <w:r>
              <w:rPr>
                <w:rFonts w:cs="Liberation Serif"/>
                <w:szCs w:val="28"/>
              </w:rPr>
              <w:t xml:space="preserve">Блок 1. Нормативное закрепление процедур ОРВ. 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Cs w:val="28"/>
              </w:rPr>
            </w:pPr>
            <w:r>
              <w:rPr>
                <w:rFonts w:cs="Liberation Serif"/>
                <w:szCs w:val="28"/>
              </w:rPr>
              <w:t>1.1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bCs/>
                <w:szCs w:val="28"/>
              </w:rPr>
            </w:pPr>
            <w:r>
              <w:rPr>
                <w:rFonts w:cs="Liberation Serif"/>
                <w:bCs/>
                <w:szCs w:val="28"/>
              </w:rPr>
              <w:t>Наличие нормативно-правовой базы, регулирующей проведение ОРВ (в т.ч. утверждены и размещены на официальном Интернет-ресурсе муниципального образования типовые формы документов для проведения ОРВ), и ее современная актуализация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ind w:left="-108" w:firstLine="108"/>
              <w:jc w:val="center"/>
              <w:textAlignment w:val="auto"/>
              <w:rPr>
                <w:rFonts w:ascii="Times New Roman" w:hAnsi="Times New Roman" w:cs="Liberation Serif"/>
                <w:bCs/>
                <w:szCs w:val="28"/>
              </w:rPr>
            </w:pPr>
            <w:r>
              <w:rPr>
                <w:rFonts w:cs="Liberation Serif"/>
                <w:bCs/>
                <w:szCs w:val="28"/>
              </w:rPr>
              <w:t>да</w:t>
            </w:r>
          </w:p>
        </w:tc>
      </w:tr>
      <w:tr>
        <w:trPr>
          <w:trHeight w:val="1020" w:hRule="atLeast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jc w:val="both"/>
              <w:textAlignment w:val="auto"/>
              <w:rPr>
                <w:rFonts w:ascii="Times New Roman" w:hAnsi="Times New Roman" w:eastAsia="Calibri" w:cs="Liberation Serif"/>
                <w:szCs w:val="28"/>
                <w:shd w:fill="FFFF00" w:val="clear"/>
              </w:rPr>
            </w:pPr>
            <w:r>
              <w:rPr>
                <w:rFonts w:eastAsia="Calibri" w:cs="Liberation Serif"/>
                <w:szCs w:val="28"/>
                <w:shd w:fill="FFFF00" w:val="clear"/>
              </w:rPr>
            </w:r>
          </w:p>
          <w:p>
            <w:pPr>
              <w:pStyle w:val="Normal"/>
              <w:widowControl w:val="false"/>
              <w:overflowPunct w:val="false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eastAsia="Calibri" w:cs="Liberation Serif"/>
                <w:i w:val="false"/>
                <w:iCs w:val="false"/>
                <w:sz w:val="28"/>
                <w:szCs w:val="28"/>
                <w:shd w:fill="auto" w:val="clear"/>
              </w:rPr>
              <w:t>__</w:t>
            </w:r>
            <w:r>
              <w:rPr>
                <w:rFonts w:eastAsia="Calibri"/>
                <w:b w:val="false"/>
                <w:i w:val="false"/>
                <w:iCs w:val="false"/>
                <w:caps w:val="false"/>
                <w:smallCaps w:val="false"/>
                <w:color w:val="252525"/>
                <w:spacing w:val="0"/>
                <w:sz w:val="28"/>
                <w:szCs w:val="28"/>
                <w:shd w:fill="auto" w:val="clear"/>
              </w:rPr>
              <w:t xml:space="preserve">Постановление Админстрации Артинского городского округа от </w:t>
            </w:r>
            <w:r>
              <w:rPr>
                <w:rFonts w:eastAsia="Calibri" w:cs="Times New Roman"/>
                <w:b w:val="false"/>
                <w:i w:val="false"/>
                <w:iCs w:val="false"/>
                <w:caps w:val="false"/>
                <w:smallCaps w:val="false"/>
                <w:color w:val="252525"/>
                <w:spacing w:val="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30.12.2021 </w:t>
            </w:r>
            <w:r>
              <w:rPr>
                <w:rFonts w:eastAsia="Calibri"/>
                <w:b w:val="false"/>
                <w:i w:val="false"/>
                <w:iCs w:val="false"/>
                <w:caps w:val="false"/>
                <w:smallCaps w:val="false"/>
                <w:color w:val="252525"/>
                <w:spacing w:val="0"/>
                <w:sz w:val="28"/>
                <w:szCs w:val="28"/>
                <w:shd w:fill="auto" w:val="clear"/>
              </w:rPr>
              <w:t xml:space="preserve">г. № </w:t>
            </w:r>
            <w:r>
              <w:rPr>
                <w:rFonts w:eastAsia="Calibri" w:cs="Times New Roman"/>
                <w:b w:val="false"/>
                <w:i w:val="false"/>
                <w:iCs w:val="false"/>
                <w:caps w:val="false"/>
                <w:smallCaps w:val="false"/>
                <w:color w:val="252525"/>
                <w:spacing w:val="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696 </w:t>
            </w:r>
            <w:r>
              <w:rPr>
                <w:rFonts w:eastAsia="Calibri"/>
                <w:b w:val="false"/>
                <w:i w:val="false"/>
                <w:iCs w:val="false"/>
                <w:caps w:val="false"/>
                <w:smallCaps w:val="false"/>
                <w:color w:val="252525"/>
                <w:spacing w:val="0"/>
                <w:sz w:val="28"/>
                <w:szCs w:val="28"/>
                <w:shd w:fill="auto" w:val="clear"/>
              </w:rPr>
              <w:t>«О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округа»</w:t>
            </w:r>
            <w:r>
              <w:rPr>
                <w:rFonts w:eastAsia="Calibri" w:cs="Liberation Serif"/>
                <w:szCs w:val="28"/>
                <w:shd w:fill="auto" w:val="clear"/>
              </w:rPr>
              <w:t>____________</w:t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Liberation Serif"/>
                <w:iCs/>
                <w:sz w:val="20"/>
                <w:szCs w:val="20"/>
                <w:shd w:fill="auto" w:val="clear"/>
              </w:rPr>
              <w:t>(реквизиты действующей редакции нормативного правового акта, определяющего (уточняющего) данную сферу)</w:t>
            </w:r>
          </w:p>
        </w:tc>
      </w:tr>
      <w:tr>
        <w:trPr>
          <w:trHeight w:val="351" w:hRule="atLeast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>
                <w:bottom w:val="single" w:sz="6" w:space="1" w:color="000000"/>
              </w:pBdr>
              <w:overflowPunct w:val="false"/>
              <w:jc w:val="center"/>
              <w:textAlignment w:val="auto"/>
              <w:rPr>
                <w:rFonts w:ascii="Times New Roman" w:hAnsi="Times New Roman" w:eastAsia="Calibri" w:cs="Liberation Serif"/>
                <w:iCs/>
                <w:szCs w:val="28"/>
                <w:shd w:fill="auto" w:val="clear"/>
              </w:rPr>
            </w:pPr>
            <w:r>
              <w:rPr>
                <w:rFonts w:eastAsia="Calibri" w:cs="Liberation Serif"/>
                <w:i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pBdr>
                <w:bottom w:val="single" w:sz="6" w:space="1" w:color="000000"/>
              </w:pBdr>
              <w:overflowPunct w:val="false"/>
              <w:jc w:val="center"/>
              <w:textAlignment w:val="auto"/>
              <w:rPr>
                <w:rFonts w:ascii="Times New Roman" w:hAnsi="Times New Roman" w:eastAsia="Calibri" w:cs="Liberation Serif"/>
                <w:iCs/>
                <w:szCs w:val="28"/>
                <w:shd w:fill="auto" w:val="clear"/>
              </w:rPr>
            </w:pPr>
            <w:hyperlink r:id="rId2">
              <w:r>
                <w:rPr>
                  <w:rFonts w:eastAsia="Calibri" w:cs="Liberation Serif"/>
                  <w:iCs/>
                  <w:szCs w:val="28"/>
                  <w:shd w:fill="auto" w:val="clear"/>
                </w:rPr>
                <w:t>https://arti.midural.ru/article/show/id/1133</w:t>
              </w:r>
            </w:hyperlink>
          </w:p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Times New Roman" w:hAnsi="Times New Roman" w:eastAsia="Calibri" w:cs="Liberation Serif"/>
                <w:sz w:val="20"/>
                <w:szCs w:val="20"/>
                <w:shd w:fill="auto" w:val="clear"/>
              </w:rPr>
            </w:pPr>
            <w:r>
              <w:rPr>
                <w:rFonts w:eastAsia="Calibri" w:cs="Liberation Serif"/>
                <w:iCs/>
                <w:sz w:val="20"/>
                <w:szCs w:val="20"/>
                <w:shd w:fill="auto" w:val="clear"/>
              </w:rPr>
              <w:t>(ссылка на ресурс сети Интернет)</w:t>
            </w:r>
          </w:p>
        </w:tc>
      </w:tr>
      <w:tr>
        <w:trPr>
          <w:trHeight w:val="351" w:hRule="atLeast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Times New Roman" w:hAnsi="Times New Roman" w:eastAsia="Calibri" w:cs="Liberation Serif"/>
                <w:iCs/>
                <w:sz w:val="24"/>
                <w:szCs w:val="24"/>
                <w:shd w:fill="auto" w:val="clear"/>
              </w:rPr>
            </w:pPr>
            <w:r>
              <w:rPr>
                <w:rFonts w:eastAsia="Calibri" w:cs="Liberation Serif"/>
                <w:iCs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Times New Roman" w:hAnsi="Times New Roman" w:eastAsia="Calibri" w:cs="Liberation Serif"/>
                <w:iCs/>
                <w:sz w:val="28"/>
                <w:szCs w:val="28"/>
                <w:shd w:fill="auto" w:val="clear"/>
              </w:rPr>
            </w:pPr>
            <w:r>
              <w:rPr>
                <w:rFonts w:eastAsia="Calibri" w:cs="Liberation Serif"/>
                <w:iCs/>
                <w:sz w:val="28"/>
                <w:szCs w:val="28"/>
                <w:shd w:fill="auto" w:val="clear"/>
              </w:rPr>
              <w:t>Блок 2. Фактическое проведение процедуры ОРВ.</w:t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Times New Roman" w:hAnsi="Times New Roman" w:eastAsia="Calibri" w:cs="Liberation Serif"/>
                <w:iCs/>
                <w:sz w:val="24"/>
                <w:szCs w:val="24"/>
                <w:shd w:fill="auto" w:val="clear"/>
              </w:rPr>
            </w:pPr>
            <w:r>
              <w:rPr>
                <w:rFonts w:eastAsia="Calibri" w:cs="Liberation Serif"/>
                <w:iCs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2.1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bCs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bCs/>
                <w:sz w:val="24"/>
                <w:szCs w:val="24"/>
                <w:shd w:fill="auto" w:val="clear"/>
              </w:rPr>
              <w:t>Количество НПА, направленных на ОРВ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eastAsia="Times New Roman" w:cs="Liberation Serif"/>
                <w:bCs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Times New Roman" w:cs="Liberation Serif"/>
                <w:bCs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bCs/>
                <w:szCs w:val="28"/>
                <w:shd w:fill="auto" w:val="clear"/>
              </w:rPr>
            </w:pPr>
            <w:r>
              <w:rPr>
                <w:rFonts w:cs="Liberation Serif"/>
                <w:bCs/>
                <w:szCs w:val="28"/>
                <w:shd w:fill="auto" w:val="clear"/>
              </w:rPr>
              <w:t>Блок 3. Организация экспертизы действующих НПА</w:t>
            </w:r>
          </w:p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bCs/>
                <w:szCs w:val="28"/>
                <w:shd w:fill="auto" w:val="clear"/>
              </w:rPr>
            </w:pPr>
            <w:r>
              <w:rPr>
                <w:rFonts w:cs="Liberation Serif"/>
                <w:bCs/>
                <w:szCs w:val="28"/>
                <w:shd w:fill="auto" w:val="clear"/>
              </w:rPr>
            </w:r>
          </w:p>
        </w:tc>
      </w:tr>
      <w:tr>
        <w:trPr/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bCs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bCs/>
                <w:sz w:val="24"/>
                <w:szCs w:val="24"/>
                <w:shd w:fill="auto" w:val="clear"/>
              </w:rPr>
              <w:t>3.1</w:t>
            </w:r>
          </w:p>
        </w:tc>
        <w:tc>
          <w:tcPr>
            <w:tcW w:w="7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bCs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bCs/>
                <w:sz w:val="24"/>
                <w:szCs w:val="24"/>
                <w:shd w:fill="auto" w:val="clear"/>
              </w:rPr>
              <w:t>План проведения экспертизы НПА на текущий год утвержден и размещен в публичном доступе в сети    Интернет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bCs/>
                <w:szCs w:val="28"/>
                <w:shd w:fill="auto" w:val="clear"/>
              </w:rPr>
            </w:pPr>
            <w:r>
              <w:rPr>
                <w:rFonts w:cs="Liberation Serif"/>
                <w:bCs/>
                <w:szCs w:val="28"/>
                <w:shd w:fill="auto" w:val="clear"/>
              </w:rPr>
              <w:t>да</w:t>
            </w:r>
          </w:p>
        </w:tc>
      </w:tr>
      <w:tr>
        <w:trPr>
          <w:trHeight w:val="2541" w:hRule="atLeast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szCs w:val="28"/>
                <w:shd w:fill="auto" w:val="clear"/>
              </w:rPr>
            </w:pPr>
            <w:r>
              <w:rPr>
                <w:rFonts w:eastAsia="Calibri" w:cs="Liberation Serif"/>
                <w:szCs w:val="28"/>
                <w:shd w:fill="auto" w:val="clear"/>
              </w:rPr>
              <w:t>__</w:t>
            </w:r>
            <w:r>
              <w:rPr>
                <w:rFonts w:eastAsia="Calibri" w:cs="Liberation Serif"/>
                <w:b w:val="false"/>
                <w:i w:val="false"/>
                <w:iCs w:val="false"/>
                <w:caps w:val="false"/>
                <w:smallCaps w:val="false"/>
                <w:color w:val="252525"/>
                <w:spacing w:val="0"/>
                <w:sz w:val="28"/>
                <w:szCs w:val="28"/>
                <w:shd w:fill="auto" w:val="clear"/>
              </w:rPr>
              <w:t xml:space="preserve">Постановление Администрации Артинского городского округа от </w:t>
            </w:r>
            <w:r>
              <w:rPr>
                <w:rFonts w:eastAsia="Calibri" w:cs="Times New Roman"/>
                <w:b w:val="false"/>
                <w:i w:val="false"/>
                <w:iCs w:val="false"/>
                <w:caps w:val="false"/>
                <w:smallCaps w:val="false"/>
                <w:color w:val="252525"/>
                <w:spacing w:val="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30.12.2021 </w:t>
            </w:r>
            <w:r>
              <w:rPr>
                <w:rFonts w:eastAsia="Calibri" w:cs="Liberation Serif"/>
                <w:b w:val="false"/>
                <w:i w:val="false"/>
                <w:iCs w:val="false"/>
                <w:caps w:val="false"/>
                <w:smallCaps w:val="false"/>
                <w:color w:val="252525"/>
                <w:spacing w:val="0"/>
                <w:sz w:val="28"/>
                <w:szCs w:val="28"/>
                <w:shd w:fill="auto" w:val="clear"/>
              </w:rPr>
              <w:t xml:space="preserve">г. № </w:t>
            </w:r>
            <w:r>
              <w:rPr>
                <w:rFonts w:eastAsia="Calibri" w:cs="Times New Roman"/>
                <w:b w:val="false"/>
                <w:i w:val="false"/>
                <w:iCs w:val="false"/>
                <w:caps w:val="false"/>
                <w:smallCaps w:val="false"/>
                <w:color w:val="252525"/>
                <w:spacing w:val="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695 </w:t>
            </w:r>
            <w:r>
              <w:rPr>
                <w:rFonts w:eastAsia="Calibri" w:cs="Liberation Serif"/>
                <w:b w:val="false"/>
                <w:i w:val="false"/>
                <w:iCs w:val="false"/>
                <w:caps w:val="false"/>
                <w:smallCaps w:val="false"/>
                <w:color w:val="252525"/>
                <w:spacing w:val="0"/>
                <w:sz w:val="28"/>
                <w:szCs w:val="28"/>
                <w:shd w:fill="auto" w:val="clear"/>
              </w:rPr>
              <w:t xml:space="preserve">«Об утверждении плана мероприятий по проведению экспертизы нормативных правовых актов </w:t>
            </w:r>
            <w:r>
              <w:rPr>
                <w:rFonts w:eastAsia="Calibri" w:cs="Liberation Serif"/>
                <w:b w:val="false"/>
                <w:i w:val="false"/>
                <w:iCs w:val="false"/>
                <w:caps w:val="false"/>
                <w:smallCaps w:val="false"/>
                <w:color w:val="252525"/>
                <w:spacing w:val="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Администрации</w:t>
            </w:r>
            <w:r>
              <w:rPr>
                <w:rFonts w:eastAsia="Calibri" w:cs="Liberation Serif"/>
                <w:b w:val="false"/>
                <w:i w:val="false"/>
                <w:iCs w:val="false"/>
                <w:caps w:val="false"/>
                <w:smallCaps w:val="false"/>
                <w:color w:val="252525"/>
                <w:spacing w:val="0"/>
                <w:sz w:val="28"/>
                <w:szCs w:val="28"/>
                <w:shd w:fill="auto" w:val="clear"/>
              </w:rPr>
              <w:t xml:space="preserve"> Артинского городского округа, затрагивающих вопросы предпринимательской и инвестиционной деятельности на 2022 год»</w:t>
            </w:r>
          </w:p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Cs w:val="28"/>
                <w:shd w:fill="auto" w:val="clear"/>
              </w:rPr>
            </w:pPr>
            <w:r>
              <w:rPr>
                <w:rFonts w:cs="Liberation Serif"/>
                <w:bCs/>
                <w:szCs w:val="28"/>
                <w:shd w:fill="auto" w:val="clear"/>
              </w:rPr>
              <w:t>_____________</w:t>
            </w:r>
            <w:hyperlink r:id="rId3">
              <w:r>
                <w:rPr>
                  <w:rFonts w:cs="Liberation Serif"/>
                  <w:bCs/>
                  <w:szCs w:val="28"/>
                  <w:shd w:fill="auto" w:val="clear"/>
                </w:rPr>
                <w:t>https://arti.midural.ru/article/show/id/1133</w:t>
              </w:r>
            </w:hyperlink>
            <w:r>
              <w:rPr>
                <w:rFonts w:cs="Liberation Serif"/>
                <w:bCs/>
                <w:szCs w:val="28"/>
                <w:shd w:fill="auto" w:val="clear"/>
              </w:rPr>
              <w:t>_________</w:t>
              <w:br/>
            </w:r>
            <w:r>
              <w:rPr>
                <w:rFonts w:eastAsia="Calibri" w:cs="Liberation Serif"/>
                <w:iCs/>
                <w:sz w:val="24"/>
                <w:szCs w:val="24"/>
                <w:shd w:fill="auto" w:val="clear"/>
              </w:rPr>
              <w:t xml:space="preserve">(ссылка на ресурс сети Интернет)  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3.2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bCs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bCs/>
                <w:sz w:val="24"/>
                <w:szCs w:val="24"/>
                <w:shd w:fill="auto" w:val="clear"/>
              </w:rPr>
              <w:t>Фактически проводится экспертиза НПА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bCs/>
                <w:szCs w:val="28"/>
                <w:shd w:fill="auto" w:val="clear"/>
              </w:rPr>
            </w:pPr>
            <w:r>
              <w:rPr>
                <w:rFonts w:cs="Liberation Serif"/>
                <w:bCs/>
                <w:szCs w:val="28"/>
                <w:shd w:fill="auto" w:val="clear"/>
              </w:rPr>
              <w:t>да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3.3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bCs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bCs/>
                <w:sz w:val="24"/>
                <w:szCs w:val="24"/>
                <w:shd w:fill="auto" w:val="clear"/>
              </w:rPr>
              <w:t>Количество НПА, включенных в план проведения экспертизы НПА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eastAsia="Times New Roman" w:cs="Liberation Serif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3.4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bCs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bCs/>
                <w:sz w:val="24"/>
                <w:szCs w:val="24"/>
                <w:shd w:fill="auto" w:val="clear"/>
              </w:rPr>
              <w:t>в т.ч наличие процедур экспертизы НПА по актам, ранее прошедшим ОРВ (с указанием количества)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Cs w:val="28"/>
                <w:shd w:fill="auto" w:val="clear"/>
              </w:rPr>
            </w:pPr>
            <w:r>
              <w:rPr>
                <w:rFonts w:cs="Liberation Serif"/>
                <w:szCs w:val="28"/>
                <w:shd w:fill="auto" w:val="clear"/>
              </w:rPr>
              <w:t>нет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3.5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bCs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bCs/>
                <w:sz w:val="24"/>
                <w:szCs w:val="24"/>
                <w:shd w:fill="auto" w:val="clear"/>
              </w:rPr>
              <w:t>Наличие НПА, по которым завершена процедура экспертизы НПА и утверждено заключение о результатах проведенной экспертизы НПА (с указанием количества таких НПА)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eastAsia="Times New Roman" w:cs="Liberation Serif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5*</w:t>
            </w:r>
          </w:p>
        </w:tc>
      </w:tr>
      <w:tr>
        <w:trPr/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</w:r>
          </w:p>
        </w:tc>
        <w:tc>
          <w:tcPr>
            <w:tcW w:w="93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bCs/>
                <w:sz w:val="20"/>
                <w:szCs w:val="20"/>
                <w:shd w:fill="auto" w:val="clear"/>
              </w:rPr>
            </w:pPr>
            <w:r>
              <w:rPr>
                <w:rFonts w:cs="Liberation Serif"/>
                <w:bCs/>
                <w:sz w:val="20"/>
                <w:szCs w:val="20"/>
                <w:shd w:fill="auto" w:val="clear"/>
              </w:rPr>
              <w:t>* НПА, указанные в плане экспертизы на 2021 год прошли ОРВ в соответствии с изменением законодательства.</w:t>
            </w:r>
          </w:p>
        </w:tc>
      </w:tr>
      <w:tr>
        <w:trPr/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Cs w:val="28"/>
                <w:shd w:fill="auto" w:val="clear"/>
              </w:rPr>
            </w:pPr>
            <w:r>
              <w:rPr>
                <w:rFonts w:cs="Liberation Serif"/>
                <w:szCs w:val="28"/>
                <w:shd w:fill="auto" w:val="clear"/>
              </w:rPr>
              <w:t>Блок 4. Организация взаимодействия с предпринимательским сообществом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4.1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 xml:space="preserve">Наличие заключенных соглашений с бизнес-ассоциациями и предпринимательским сообществом, наличие экспертных организаций, организаций, целью деятельности которых является защита и предоставление интересов субъектов предпринимательской деятельности, организаций, с которыми заключены соглашения о сотрудничестве при проведении оценки регулирующего воздействия, а также иных лиц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Cs w:val="28"/>
                <w:shd w:fill="auto" w:val="clear"/>
              </w:rPr>
            </w:pPr>
            <w:r>
              <w:rPr>
                <w:rFonts w:cs="Liberation Serif"/>
                <w:szCs w:val="28"/>
                <w:shd w:fill="auto" w:val="clear"/>
              </w:rPr>
              <w:t>да</w:t>
            </w:r>
          </w:p>
        </w:tc>
      </w:tr>
      <w:tr>
        <w:trPr>
          <w:trHeight w:val="631" w:hRule="atLeast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Liberation Serif" w:hAnsi="Liberation Serif" w:cs="Liberation Serif"/>
                <w:szCs w:val="28"/>
                <w:shd w:fill="FFFF00" w:val="clear"/>
              </w:rPr>
            </w:pPr>
            <w:r>
              <w:rPr>
                <w:rFonts w:eastAsia="Calibri" w:cs="Liberation Serif"/>
                <w:szCs w:val="28"/>
                <w:shd w:fill="auto" w:val="clear"/>
              </w:rPr>
              <w:t>___</w:t>
            </w:r>
            <w:r>
              <w:rPr>
                <w:rStyle w:val="Style17"/>
                <w:rFonts w:eastAsia="Calibri" w:cs="Liberation Serif"/>
                <w:szCs w:val="28"/>
                <w:shd w:fill="auto" w:val="clear"/>
              </w:rPr>
              <w:t xml:space="preserve">Между Администрацией Артинского городского округа и Региональным объединением работодателей Свердловской области Союза промышленников и предпринимателей заключено Соглашение от 21.11.2016г. № 136  </w:t>
            </w:r>
            <w:r>
              <w:rPr>
                <w:rFonts w:eastAsia="Calibri" w:cs="Liberation Serif"/>
                <w:szCs w:val="28"/>
                <w:shd w:fill="auto" w:val="clear"/>
              </w:rPr>
              <w:t>_________</w:t>
            </w:r>
          </w:p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  <w:shd w:fill="FFFF00" w:val="clear"/>
              </w:rPr>
            </w:pPr>
            <w:r>
              <w:rPr>
                <w:rFonts w:eastAsia="Calibri" w:cs="Liberation Serif"/>
                <w:iCs/>
                <w:sz w:val="24"/>
                <w:szCs w:val="24"/>
                <w:shd w:fill="auto" w:val="clear"/>
              </w:rPr>
              <w:t>(список организаций, с которыми заключены соглашения )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4.2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Наличие нормативно закрепленного механизма согласования разногласий, возникающих в процессе публичных консультаций по проектам НПА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Cs w:val="28"/>
                <w:shd w:fill="auto" w:val="clear"/>
              </w:rPr>
            </w:pPr>
            <w:r>
              <w:rPr>
                <w:rFonts w:cs="Liberation Serif"/>
                <w:szCs w:val="28"/>
                <w:shd w:fill="auto" w:val="clear"/>
              </w:rPr>
              <w:t xml:space="preserve">да  </w:t>
            </w:r>
            <w:r>
              <w:rPr>
                <w:rFonts w:cs="Liberation Serif"/>
                <w:sz w:val="24"/>
                <w:szCs w:val="24"/>
                <w:shd w:fill="auto" w:val="clear"/>
              </w:rPr>
              <w:t>(постановление № 696)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4.3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Наличие проектов НПА, по которым прошла процедура согласительных совещаний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Cs w:val="28"/>
                <w:shd w:fill="auto" w:val="clear"/>
              </w:rPr>
            </w:pPr>
            <w:r>
              <w:rPr>
                <w:rFonts w:cs="Liberation Serif"/>
                <w:szCs w:val="28"/>
                <w:shd w:fill="auto" w:val="clear"/>
              </w:rPr>
              <w:t>нет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4.4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Количество проектов НПА, по которым прошла процедура согласительных совещаний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Cs w:val="28"/>
                <w:shd w:fill="auto" w:val="clear"/>
              </w:rPr>
            </w:pPr>
            <w:r>
              <w:rPr>
                <w:rFonts w:cs="Liberation Serif"/>
                <w:szCs w:val="28"/>
                <w:shd w:fill="auto" w:val="clear"/>
              </w:rPr>
              <w:t>-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4.5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Наличие проектов НПА, по которым в ходе проведения ОРВ получены два и более мнений от различных представителей предпринимательского или экспертного сообщества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Cs w:val="28"/>
                <w:shd w:fill="auto" w:val="clear"/>
              </w:rPr>
            </w:pPr>
            <w:r>
              <w:rPr>
                <w:rFonts w:cs="Liberation Serif"/>
                <w:szCs w:val="28"/>
                <w:shd w:fill="auto" w:val="clear"/>
              </w:rPr>
              <w:t>нет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4.6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Количество проектов НПА, по которым в ходе проведения ОРВ получены два и более мнения от различных представителей предпринимательского или экспертного сообщества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Cs w:val="28"/>
                <w:shd w:fill="auto" w:val="clear"/>
              </w:rPr>
            </w:pPr>
            <w:r>
              <w:rPr>
                <w:rFonts w:cs="Liberation Serif"/>
                <w:szCs w:val="28"/>
                <w:shd w:fill="auto" w:val="clear"/>
              </w:rPr>
              <w:t>-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4.7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Наличие координационного органа (совета), в полномочия которого входит рассмотрение вопросов в сфере ОРВ и экспертизы НПА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Cs w:val="28"/>
                <w:shd w:fill="auto" w:val="clear"/>
              </w:rPr>
            </w:pPr>
            <w:r>
              <w:rPr>
                <w:rFonts w:cs="Liberation Serif"/>
                <w:szCs w:val="28"/>
                <w:shd w:fill="auto" w:val="clear"/>
              </w:rPr>
              <w:t>да</w:t>
            </w:r>
          </w:p>
        </w:tc>
      </w:tr>
      <w:tr>
        <w:trPr>
          <w:trHeight w:val="567" w:hRule="atLeast"/>
        </w:trPr>
        <w:tc>
          <w:tcPr>
            <w:tcW w:w="10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8"/>
              <w:widowControl w:val="false"/>
              <w:overflowPunct w:val="tru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szCs w:val="28"/>
                <w:shd w:fill="FFFF00" w:val="clear"/>
              </w:rPr>
            </w:pPr>
            <w:r>
              <w:rPr>
                <w:rStyle w:val="Style17"/>
                <w:rFonts w:eastAsia="Calibri" w:cs="Liberation Serif"/>
                <w:szCs w:val="28"/>
                <w:shd w:fill="auto" w:val="clear"/>
              </w:rPr>
              <w:t xml:space="preserve">__Постановлением Администрации Артинского городского округа от </w:t>
            </w:r>
            <w:r>
              <w:rPr>
                <w:rStyle w:val="Style17"/>
                <w:rFonts w:eastAsia="Calibri" w:cs="Liberation Serif"/>
                <w:sz w:val="28"/>
                <w:szCs w:val="28"/>
                <w:shd w:fill="auto" w:val="clear"/>
              </w:rPr>
              <w:t>30.12.2021</w:t>
            </w:r>
            <w:r>
              <w:rPr>
                <w:rStyle w:val="Style17"/>
                <w:rFonts w:eastAsia="Calibri" w:cs="Liberation Serif"/>
                <w:szCs w:val="28"/>
                <w:shd w:fill="auto" w:val="clear"/>
              </w:rPr>
              <w:t xml:space="preserve">г. № </w:t>
            </w:r>
            <w:r>
              <w:rPr>
                <w:rStyle w:val="Style17"/>
                <w:rFonts w:eastAsia="Calibri" w:cs="Liberation Serif"/>
                <w:sz w:val="28"/>
                <w:szCs w:val="28"/>
                <w:shd w:fill="auto" w:val="clear"/>
              </w:rPr>
              <w:t>696</w:t>
            </w:r>
            <w:r>
              <w:rPr>
                <w:rStyle w:val="Style17"/>
                <w:rFonts w:eastAsia="Calibri" w:cs="Liberation Serif"/>
                <w:szCs w:val="28"/>
                <w:shd w:fill="auto" w:val="clear"/>
              </w:rPr>
              <w:t xml:space="preserve"> определено, что Уполномоченным органом в Артинском городском округе в сфере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 комитет по экономике Администрации Артинского городского округа;</w:t>
            </w:r>
          </w:p>
          <w:p>
            <w:pPr>
              <w:pStyle w:val="Style28"/>
              <w:widowControl w:val="false"/>
              <w:overflowPunct w:val="tru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szCs w:val="28"/>
                <w:shd w:fill="FFFF00" w:val="clear"/>
              </w:rPr>
            </w:pPr>
            <w:r>
              <w:rPr>
                <w:rStyle w:val="Style17"/>
                <w:rFonts w:eastAsia="Calibri" w:cs="Liberation Serif"/>
                <w:szCs w:val="28"/>
                <w:shd w:fill="auto" w:val="clear"/>
              </w:rPr>
              <w:t>__Постановление Администрации Артинского городского округа от 24.09.2018 г. № 713 «</w:t>
            </w:r>
            <w:r>
              <w:rPr>
                <w:rStyle w:val="Style17"/>
                <w:rFonts w:eastAsia="Calibri" w:cs="Liberation Serif"/>
                <w:bCs/>
                <w:iCs/>
                <w:szCs w:val="28"/>
                <w:shd w:fill="auto" w:val="clear"/>
              </w:rPr>
              <w:t>О создании Рабочей группы по оценке регулирующего воздействия при Администрации Артинского городского округа»</w:t>
            </w:r>
            <w:r>
              <w:rPr>
                <w:rStyle w:val="Style17"/>
                <w:rFonts w:eastAsia="Calibri" w:cs="Liberation Serif"/>
                <w:szCs w:val="28"/>
                <w:shd w:fill="auto" w:val="clear"/>
              </w:rPr>
              <w:t xml:space="preserve"> </w:t>
            </w:r>
            <w:r>
              <w:rPr>
                <w:rStyle w:val="Style17"/>
                <w:rFonts w:eastAsia="Calibri" w:cs="Liberation Serif"/>
                <w:bCs/>
                <w:iCs/>
                <w:szCs w:val="28"/>
                <w:shd w:fill="auto" w:val="clear"/>
              </w:rPr>
              <w:t>утверждено положение о Рабочей группе и состав Рабочей группы по оценке регулирующего воздействия при Администрации Артинского городского округа._________________________</w:t>
            </w:r>
          </w:p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eastAsia="Calibri" w:cs="Liberation Serif"/>
                <w:iCs/>
                <w:sz w:val="24"/>
                <w:szCs w:val="24"/>
                <w:shd w:fill="auto" w:val="clear"/>
              </w:rPr>
              <w:t>(наименование органа (совета), реквизиты нормативного правового акта, регламентирующего состав и положение)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4.8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bCs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bCs/>
                <w:sz w:val="24"/>
                <w:szCs w:val="24"/>
                <w:shd w:fill="auto" w:val="clear"/>
              </w:rPr>
              <w:t>Количество мнений (положительных отзывов, предложений и замечаний), поступивших в ходе публичных консультаций при проведении ОРВ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eastAsia="Times New Roman" w:cs="Liberation Serif"/>
                <w:bCs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Times New Roman" w:cs="Liberation Serif"/>
                <w:bCs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4.9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bCs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bCs/>
                <w:sz w:val="24"/>
                <w:szCs w:val="24"/>
                <w:shd w:fill="auto" w:val="clear"/>
              </w:rPr>
              <w:t>Количество предложений и замечаний, поступивших в ходе публичных консультаций при проведении ОРВ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eastAsia="Times New Roman" w:cs="Liberation Serif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4.10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bCs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bCs/>
                <w:sz w:val="24"/>
                <w:szCs w:val="24"/>
                <w:shd w:fill="auto" w:val="clear"/>
              </w:rPr>
              <w:t>Среднее количество направляемых в ходе проведения публичных консультаций мнений по проекту НПА указать интервал  менее 0,5/ от 0,5 до 0,8/ более 0,8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bCs/>
                <w:szCs w:val="28"/>
                <w:shd w:fill="auto" w:val="clear"/>
              </w:rPr>
            </w:pPr>
            <w:r>
              <w:rPr>
                <w:rFonts w:cs="Liberation Serif"/>
                <w:bCs/>
                <w:szCs w:val="28"/>
                <w:shd w:fill="auto" w:val="clear"/>
              </w:rPr>
              <w:t>более 0,8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4.11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bCs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bCs/>
                <w:sz w:val="24"/>
                <w:szCs w:val="24"/>
                <w:shd w:fill="auto" w:val="clear"/>
              </w:rPr>
              <w:t>Количество учтенных разработчиком предложений и замечаний, поступивших в ходе публичных консультаций при проведении ОРВ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eastAsia="Times New Roman" w:cs="Liberation Serif"/>
                <w:color w:val="auto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sz w:val="24"/>
                <w:szCs w:val="24"/>
                <w:shd w:fill="auto" w:val="clear"/>
              </w:rPr>
              <w:t>4.12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bCs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bCs/>
                <w:sz w:val="24"/>
                <w:szCs w:val="24"/>
                <w:shd w:fill="auto" w:val="clear"/>
              </w:rPr>
              <w:t xml:space="preserve">Степень учета предложений, поступивших в ходе проведения ОРВ </w:t>
            </w:r>
          </w:p>
          <w:p>
            <w:pPr>
              <w:pStyle w:val="Normal"/>
              <w:widowControl w:val="false"/>
              <w:overflowPunct w:val="false"/>
              <w:spacing w:before="120" w:after="120"/>
              <w:jc w:val="both"/>
              <w:textAlignment w:val="auto"/>
              <w:rPr>
                <w:rFonts w:ascii="Times New Roman" w:hAnsi="Times New Roman" w:cs="Liberation Serif"/>
                <w:bCs/>
                <w:sz w:val="24"/>
                <w:szCs w:val="24"/>
                <w:shd w:fill="auto" w:val="clear"/>
              </w:rPr>
            </w:pPr>
            <w:r>
              <w:rPr>
                <w:rFonts w:cs="Liberation Serif"/>
                <w:bCs/>
                <w:sz w:val="24"/>
                <w:szCs w:val="24"/>
                <w:shd w:fill="auto" w:val="clear"/>
              </w:rPr>
              <w:t>указать интервал менее 0,3/ от 0,3 до 0,7/ более 0,7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false"/>
              <w:spacing w:before="120" w:after="120"/>
              <w:jc w:val="center"/>
              <w:textAlignment w:val="auto"/>
              <w:rPr>
                <w:rFonts w:ascii="Times New Roman" w:hAnsi="Times New Roman" w:cs="Liberation Serif"/>
                <w:bCs/>
                <w:sz w:val="28"/>
                <w:szCs w:val="28"/>
                <w:shd w:fill="auto" w:val="clear"/>
              </w:rPr>
            </w:pPr>
            <w:r>
              <w:rPr>
                <w:rFonts w:cs="Liberation Serif"/>
                <w:bCs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cs="Liberation Serif"/>
                <w:bCs/>
                <w:sz w:val="28"/>
                <w:szCs w:val="28"/>
                <w:shd w:fill="auto" w:val="clear"/>
              </w:rPr>
              <w:t>более 0,7</w:t>
            </w:r>
          </w:p>
        </w:tc>
      </w:tr>
    </w:tbl>
    <w:p>
      <w:pPr>
        <w:pStyle w:val="Normal"/>
        <w:overflowPunct w:val="false"/>
        <w:jc w:val="both"/>
        <w:textAlignment w:val="auto"/>
        <w:rPr>
          <w:rFonts w:ascii="Liberation Serif" w:hAnsi="Liberation Serif" w:eastAsia="Calibri" w:cs="Liberation Serif" w:eastAsiaTheme="minorHAnsi"/>
          <w:szCs w:val="22"/>
          <w:lang w:eastAsia="en-US"/>
        </w:rPr>
      </w:pPr>
      <w:r>
        <w:rPr>
          <w:rFonts w:eastAsia="Calibri" w:cs="Liberation Serif" w:eastAsiaTheme="minorHAnsi" w:ascii="Liberation Serif" w:hAnsi="Liberation Serif"/>
          <w:szCs w:val="22"/>
          <w:lang w:eastAsia="en-US"/>
        </w:rPr>
      </w:r>
    </w:p>
    <w:p>
      <w:pPr>
        <w:pStyle w:val="Normal"/>
        <w:overflowPunct w:val="false"/>
        <w:jc w:val="both"/>
        <w:textAlignment w:val="auto"/>
        <w:rPr>
          <w:rFonts w:ascii="Liberation Serif" w:hAnsi="Liberation Serif" w:eastAsia="Calibri" w:cs="Liberation Serif" w:eastAsiaTheme="minorHAnsi"/>
          <w:szCs w:val="22"/>
          <w:lang w:eastAsia="en-US"/>
        </w:rPr>
      </w:pPr>
      <w:r>
        <w:rPr>
          <w:rFonts w:eastAsia="Calibri" w:cs="Liberation Serif" w:eastAsiaTheme="minorHAnsi" w:ascii="Liberation Serif" w:hAnsi="Liberation Serif"/>
          <w:szCs w:val="22"/>
          <w:lang w:eastAsia="en-US"/>
        </w:rPr>
      </w:r>
    </w:p>
    <w:p>
      <w:pPr>
        <w:pStyle w:val="Normal"/>
        <w:overflowPunct w:val="false"/>
        <w:jc w:val="both"/>
        <w:textAlignment w:val="auto"/>
        <w:rPr>
          <w:rFonts w:ascii="Liberation Serif" w:hAnsi="Liberation Serif" w:eastAsia="Calibri" w:cs="Liberation Serif" w:eastAsiaTheme="minorHAnsi"/>
          <w:szCs w:val="22"/>
          <w:lang w:eastAsia="en-US"/>
        </w:rPr>
      </w:pPr>
      <w:r>
        <w:rPr>
          <w:rFonts w:eastAsia="Calibri" w:cs="Liberation Serif" w:eastAsiaTheme="minorHAnsi" w:ascii="Liberation Serif" w:hAnsi="Liberation Serif"/>
          <w:szCs w:val="22"/>
          <w:lang w:eastAsia="en-US"/>
        </w:rPr>
      </w:r>
    </w:p>
    <w:p>
      <w:pPr>
        <w:pStyle w:val="Normal"/>
        <w:overflowPunct w:val="false"/>
        <w:jc w:val="both"/>
        <w:textAlignment w:val="auto"/>
        <w:rPr>
          <w:rFonts w:ascii="Liberation Serif" w:hAnsi="Liberation Serif" w:eastAsia="Calibri" w:cs="Liberation Serif" w:eastAsiaTheme="minorHAnsi"/>
          <w:szCs w:val="22"/>
          <w:lang w:eastAsia="en-US"/>
        </w:rPr>
      </w:pPr>
      <w:r>
        <w:rPr>
          <w:rFonts w:eastAsia="Calibri" w:cs="Liberation Serif" w:eastAsiaTheme="minorHAnsi" w:ascii="Liberation Serif" w:hAnsi="Liberation Serif"/>
          <w:szCs w:val="22"/>
          <w:lang w:eastAsia="en-US"/>
        </w:rPr>
      </w:r>
    </w:p>
    <w:p>
      <w:pPr>
        <w:pStyle w:val="Normal"/>
        <w:overflowPunct w:val="false"/>
        <w:jc w:val="both"/>
        <w:textAlignment w:val="auto"/>
        <w:rPr>
          <w:rFonts w:ascii="Liberation Serif" w:hAnsi="Liberation Serif" w:eastAsia="Calibri" w:cs="Liberation Serif" w:eastAsiaTheme="minorHAnsi"/>
          <w:szCs w:val="22"/>
          <w:lang w:val="en-US" w:eastAsia="en-US"/>
        </w:rPr>
      </w:pPr>
      <w:r>
        <w:rPr>
          <w:rFonts w:eastAsia="Calibri" w:cs="Liberation Serif" w:eastAsiaTheme="minorHAnsi" w:ascii="Liberation Serif" w:hAnsi="Liberation Serif"/>
          <w:szCs w:val="22"/>
          <w:lang w:val="en-US" w:eastAsia="en-US"/>
        </w:rPr>
      </w:r>
    </w:p>
    <w:p>
      <w:pPr>
        <w:pStyle w:val="Normal"/>
        <w:overflowPunct w:val="false"/>
        <w:jc w:val="both"/>
        <w:textAlignment w:val="auto"/>
        <w:rPr>
          <w:rFonts w:ascii="Liberation Serif" w:hAnsi="Liberation Serif" w:eastAsia="Calibri" w:cs="Liberation Serif" w:eastAsiaTheme="minorHAnsi"/>
          <w:szCs w:val="22"/>
          <w:lang w:eastAsia="en-US"/>
        </w:rPr>
      </w:pPr>
      <w:r>
        <w:rPr>
          <w:rFonts w:eastAsia="Calibri" w:cs="Liberation Serif" w:eastAsiaTheme="minorHAnsi" w:ascii="Liberation Serif" w:hAnsi="Liberation Serif"/>
          <w:szCs w:val="22"/>
          <w:lang w:eastAsia="en-US"/>
        </w:rPr>
      </w:r>
    </w:p>
    <w:p>
      <w:pPr>
        <w:pStyle w:val="Normal"/>
        <w:overflowPunct w:val="false"/>
        <w:jc w:val="both"/>
        <w:textAlignment w:val="auto"/>
        <w:rPr>
          <w:rFonts w:ascii="Liberation Serif" w:hAnsi="Liberation Serif" w:eastAsia="Calibri" w:cs="Liberation Serif" w:eastAsiaTheme="minorHAnsi"/>
          <w:szCs w:val="22"/>
          <w:lang w:eastAsia="en-US"/>
        </w:rPr>
      </w:pPr>
      <w:r>
        <w:rPr>
          <w:rFonts w:eastAsia="Calibri" w:cs="Liberation Serif" w:eastAsiaTheme="minorHAnsi" w:ascii="Liberation Serif" w:hAnsi="Liberation Serif"/>
          <w:szCs w:val="22"/>
          <w:lang w:eastAsia="en-US"/>
        </w:rPr>
      </w:r>
    </w:p>
    <w:p>
      <w:pPr>
        <w:pStyle w:val="Normal"/>
        <w:rPr>
          <w:rFonts w:ascii="Liberation Serif" w:hAnsi="Liberation Serif" w:cs="Liberation Serif"/>
          <w:szCs w:val="28"/>
        </w:rPr>
      </w:pPr>
      <w:r>
        <w:rPr/>
        <mc:AlternateContent>
          <mc:Choice Requires="wps">
            <w:drawing>
              <wp:anchor behindDoc="0" distT="6350" distB="6350" distL="6350" distR="6350" simplePos="0" locked="0" layoutInCell="0" allowOverlap="1" relativeHeight="2">
                <wp:simplePos x="0" y="0"/>
                <wp:positionH relativeFrom="column">
                  <wp:posOffset>4445</wp:posOffset>
                </wp:positionH>
                <wp:positionV relativeFrom="page">
                  <wp:posOffset>9944100</wp:posOffset>
                </wp:positionV>
                <wp:extent cx="6308725" cy="374650"/>
                <wp:effectExtent l="0" t="0" r="0" b="0"/>
                <wp:wrapNone/>
                <wp:docPr id="1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920" cy="3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path="m0,0l-2147483645,0l-2147483645,-2147483646l0,-2147483646xe" stroked="f" style="position:absolute;margin-left:0.35pt;margin-top:783pt;width:496.65pt;height:29.4pt;mso-wrap-style:none;v-text-anchor:middle;mso-position-vertical-relative:page">
                <v:fill o:detectmouseclick="t" on="false"/>
                <v:stroke color="#3465a4" weight="12600" joinstyle="miter" endcap="flat"/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950"/>
        </w:tabs>
        <w:ind w:left="7950" w:hanging="360"/>
      </w:pPr>
      <w:rPr/>
    </w:lvl>
    <w:lvl w:ilvl="1">
      <w:start w:val="1"/>
      <w:numFmt w:val="decimal"/>
      <w:lvlText w:val="%2."/>
      <w:lvlJc w:val="left"/>
      <w:pPr>
        <w:tabs>
          <w:tab w:val="num" w:pos="8310"/>
        </w:tabs>
        <w:ind w:left="8310" w:hanging="360"/>
      </w:pPr>
      <w:rPr/>
    </w:lvl>
    <w:lvl w:ilvl="2">
      <w:start w:val="1"/>
      <w:numFmt w:val="decimal"/>
      <w:lvlText w:val="%3."/>
      <w:lvlJc w:val="left"/>
      <w:pPr>
        <w:tabs>
          <w:tab w:val="num" w:pos="8670"/>
        </w:tabs>
        <w:ind w:left="8670" w:hanging="360"/>
      </w:pPr>
      <w:rPr/>
    </w:lvl>
    <w:lvl w:ilvl="3">
      <w:start w:val="1"/>
      <w:numFmt w:val="decimal"/>
      <w:lvlText w:val="%4."/>
      <w:lvlJc w:val="left"/>
      <w:pPr>
        <w:tabs>
          <w:tab w:val="num" w:pos="9030"/>
        </w:tabs>
        <w:ind w:left="9030" w:hanging="360"/>
      </w:pPr>
      <w:rPr/>
    </w:lvl>
    <w:lvl w:ilvl="4">
      <w:start w:val="1"/>
      <w:numFmt w:val="decimal"/>
      <w:lvlText w:val="%5."/>
      <w:lvlJc w:val="left"/>
      <w:pPr>
        <w:tabs>
          <w:tab w:val="num" w:pos="9390"/>
        </w:tabs>
        <w:ind w:left="9390" w:hanging="360"/>
      </w:pPr>
      <w:rPr/>
    </w:lvl>
    <w:lvl w:ilvl="5">
      <w:start w:val="1"/>
      <w:numFmt w:val="decimal"/>
      <w:lvlText w:val="%6."/>
      <w:lvlJc w:val="left"/>
      <w:pPr>
        <w:tabs>
          <w:tab w:val="num" w:pos="9750"/>
        </w:tabs>
        <w:ind w:left="9750" w:hanging="360"/>
      </w:pPr>
      <w:rPr/>
    </w:lvl>
    <w:lvl w:ilvl="6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  <w:rPr/>
    </w:lvl>
    <w:lvl w:ilvl="7">
      <w:start w:val="1"/>
      <w:numFmt w:val="decimal"/>
      <w:lvlText w:val="%8."/>
      <w:lvlJc w:val="left"/>
      <w:pPr>
        <w:tabs>
          <w:tab w:val="num" w:pos="10470"/>
        </w:tabs>
        <w:ind w:left="10470" w:hanging="360"/>
      </w:pPr>
      <w:rPr/>
    </w:lvl>
    <w:lvl w:ilvl="8">
      <w:start w:val="1"/>
      <w:numFmt w:val="decimal"/>
      <w:lvlText w:val="%9."/>
      <w:lvlJc w:val="left"/>
      <w:pPr>
        <w:tabs>
          <w:tab w:val="num" w:pos="10830"/>
        </w:tabs>
        <w:ind w:left="1083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7e97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5a405a"/>
    <w:pPr>
      <w:keepNext w:val="true"/>
      <w:overflowPunct w:val="false"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val="x-none" w:eastAsia="en-US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8a274b"/>
    <w:pPr>
      <w:keepNext w:val="true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uiPriority w:val="99"/>
    <w:unhideWhenUsed/>
    <w:rsid w:val="000411a2"/>
    <w:rPr>
      <w:color w:val="0000FF"/>
      <w:u w:val="single"/>
    </w:rPr>
  </w:style>
  <w:style w:type="character" w:styleId="Style13" w:customStyle="1">
    <w:name w:val="Текст выноски Знак"/>
    <w:link w:val="a5"/>
    <w:uiPriority w:val="99"/>
    <w:semiHidden/>
    <w:qFormat/>
    <w:rsid w:val="00cd31fd"/>
    <w:rPr>
      <w:rFonts w:ascii="Segoe UI" w:hAnsi="Segoe UI" w:eastAsia="Times New Roman" w:cs="Segoe UI"/>
      <w:sz w:val="18"/>
      <w:szCs w:val="18"/>
    </w:rPr>
  </w:style>
  <w:style w:type="character" w:styleId="21" w:customStyle="1">
    <w:name w:val="Заголовок 2 Знак"/>
    <w:link w:val="2"/>
    <w:qFormat/>
    <w:rsid w:val="005a405a"/>
    <w:rPr>
      <w:rFonts w:ascii="Arial" w:hAnsi="Arial" w:eastAsia="Times New Roman"/>
      <w:b/>
      <w:i/>
      <w:sz w:val="32"/>
      <w:lang w:eastAsia="en-US"/>
    </w:rPr>
  </w:style>
  <w:style w:type="character" w:styleId="31" w:customStyle="1">
    <w:name w:val="Заголовок 3 Знак"/>
    <w:link w:val="3"/>
    <w:uiPriority w:val="9"/>
    <w:semiHidden/>
    <w:qFormat/>
    <w:rsid w:val="008a274b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22" w:customStyle="1">
    <w:name w:val="Основной текст 2 Знак"/>
    <w:basedOn w:val="DefaultParagraphFont"/>
    <w:link w:val="21"/>
    <w:qFormat/>
    <w:rsid w:val="00266670"/>
    <w:rPr>
      <w:rFonts w:ascii="Times New Roman" w:hAnsi="Times New Roman" w:eastAsia="Times New Roman"/>
      <w:b/>
      <w:bCs/>
      <w:spacing w:val="16"/>
      <w:sz w:val="28"/>
    </w:rPr>
  </w:style>
  <w:style w:type="character" w:styleId="Txt" w:customStyle="1">
    <w:name w:val="txt"/>
    <w:basedOn w:val="DefaultParagraphFont"/>
    <w:qFormat/>
    <w:rsid w:val="009f47cf"/>
    <w:rPr/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9c0dd4"/>
    <w:rPr>
      <w:rFonts w:ascii="Times New Roman" w:hAnsi="Times New Roman" w:eastAsia="Times New Roman"/>
      <w:sz w:val="28"/>
    </w:rPr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9c0dd4"/>
    <w:rPr>
      <w:rFonts w:ascii="Times New Roman" w:hAnsi="Times New Roman" w:eastAsia="Times New Roman"/>
      <w:sz w:val="28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9414c4"/>
    <w:rPr>
      <w:color w:val="954F72" w:themeColor="followedHyperlink"/>
      <w:u w:val="single"/>
    </w:rPr>
  </w:style>
  <w:style w:type="character" w:styleId="Style17">
    <w:name w:val="Основной шрифт абзаца"/>
    <w:qFormat/>
    <w:rPr/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a7f7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cd31fd"/>
    <w:pPr/>
    <w:rPr>
      <w:rFonts w:ascii="Segoe UI" w:hAnsi="Segoe UI"/>
      <w:sz w:val="18"/>
      <w:szCs w:val="18"/>
      <w:lang w:val="x-none" w:eastAsia="x-none"/>
    </w:rPr>
  </w:style>
  <w:style w:type="paragraph" w:styleId="BodyText2">
    <w:name w:val="Body Text 2"/>
    <w:basedOn w:val="Normal"/>
    <w:link w:val="22"/>
    <w:qFormat/>
    <w:rsid w:val="00266670"/>
    <w:pPr>
      <w:overflowPunct w:val="false"/>
      <w:spacing w:lineRule="exact" w:line="360"/>
      <w:jc w:val="both"/>
      <w:textAlignment w:val="auto"/>
    </w:pPr>
    <w:rPr>
      <w:b/>
      <w:bCs/>
      <w:spacing w:val="16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9"/>
    <w:uiPriority w:val="99"/>
    <w:unhideWhenUsed/>
    <w:rsid w:val="009c0dd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b"/>
    <w:uiPriority w:val="99"/>
    <w:unhideWhenUsed/>
    <w:rsid w:val="009c0dd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Обычный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3461a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rti.midural.ru/article/show/id/1133" TargetMode="External"/><Relationship Id="rId3" Type="http://schemas.openxmlformats.org/officeDocument/2006/relationships/hyperlink" Target="https://arti.midural.ru/article/show/id/1133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1823770A8A9498079E6CBD1B24DCC" ma:contentTypeVersion="3" ma:contentTypeDescription="Создание документа." ma:contentTypeScope="" ma:versionID="319ca79dca64611de15b8cd5a1c29033">
  <xsd:schema xmlns:xsd="http://www.w3.org/2001/XMLSchema" xmlns:p="http://schemas.microsoft.com/office/2006/metadata/properties" targetNamespace="http://schemas.microsoft.com/office/2006/metadata/properties" ma:root="true" ma:fieldsID="7cf383065d06a06b6690a1c18eb728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2E7C-DBBE-462F-B709-2C8D29CA07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B0182C-D3D8-42FF-971C-9A83FFF58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633CC-0502-4F40-AB30-F34D62CA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6D2E7FA-4B3C-4333-9669-28B39E98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LibreOffice/7.1.5.2$Windows_X86_64 LibreOffice_project/85f04e9f809797b8199d13c421bd8a2b025d52b5</Application>
  <AppVersion>15.0000</AppVersion>
  <Pages>7</Pages>
  <Words>483</Words>
  <Characters>3761</Characters>
  <CharactersWithSpaces>4170</CharactersWithSpaces>
  <Paragraphs>79</Paragraphs>
  <Company>MET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2018-01-16T09:56:00Z</dcterms:created>
  <dc:creator>bagaryadcev</dc:creator>
  <dc:description/>
  <dc:language>ru-RU</dc:language>
  <cp:lastModifiedBy/>
  <cp:lastPrinted>2022-01-18T15:52:36Z</cp:lastPrinted>
  <dcterms:modified xsi:type="dcterms:W3CDTF">2022-01-18T16:02:55Z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